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40" w:line="259" w:lineRule="auto"/>
        <w:rPr>
          <w:rFonts w:ascii="Calibri" w:cs="Calibri" w:eastAsia="Calibri" w:hAnsi="Calibri"/>
          <w:b w:val="1"/>
          <w:color w:val="2f5496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2f5496"/>
          <w:sz w:val="26"/>
          <w:szCs w:val="26"/>
          <w:rtl w:val="0"/>
        </w:rPr>
        <w:t xml:space="preserve">Submitting Referrals into CAS Housing Programs via HMIS</w:t>
      </w:r>
    </w:p>
    <w:p w:rsidR="00000000" w:rsidDel="00000000" w:rsidP="00000000" w:rsidRDefault="00000000" w:rsidRPr="00000000" w14:paraId="00000002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Process Flow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-438149</wp:posOffset>
            </wp:positionH>
            <wp:positionV relativeFrom="paragraph">
              <wp:posOffset>268988</wp:posOffset>
            </wp:positionV>
            <wp:extent cx="6767513" cy="3598044"/>
            <wp:effectExtent b="0" l="0" r="0" t="0"/>
            <wp:wrapTopAndBottom distB="19050" distT="19050"/>
            <wp:docPr id="9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6"/>
                    <a:srcRect b="0" l="4450" r="1458" t="4825"/>
                    <a:stretch>
                      <a:fillRect/>
                    </a:stretch>
                  </pic:blipFill>
                  <pic:spPr>
                    <a:xfrm>
                      <a:off x="0" y="0"/>
                      <a:ext cx="6767513" cy="35980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line="240" w:lineRule="auto"/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00" w:before="40" w:line="259" w:lineRule="auto"/>
        <w:rPr>
          <w:rFonts w:ascii="Calibri" w:cs="Calibri" w:eastAsia="Calibri" w:hAnsi="Calibri"/>
          <w:b w:val="1"/>
          <w:color w:val="2f5496"/>
          <w:sz w:val="26"/>
          <w:szCs w:val="26"/>
        </w:rPr>
      </w:pPr>
      <w:bookmarkStart w:colFirst="0" w:colLast="0" w:name="_t1qtwzn26iba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2f5496"/>
          <w:sz w:val="26"/>
          <w:szCs w:val="26"/>
          <w:rtl w:val="0"/>
        </w:rPr>
        <w:t xml:space="preserve">Checking Opening Availability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Looker Report: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Prior to submitting a referral, check the Housing Program availability by switching to the housing program’s primary agency. Example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3267075</wp:posOffset>
                </wp:positionH>
                <wp:positionV relativeFrom="paragraph">
                  <wp:posOffset>286747</wp:posOffset>
                </wp:positionV>
                <wp:extent cx="508635" cy="32829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01208" y="3625378"/>
                          <a:ext cx="489585" cy="30924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3267075</wp:posOffset>
                </wp:positionH>
                <wp:positionV relativeFrom="paragraph">
                  <wp:posOffset>286747</wp:posOffset>
                </wp:positionV>
                <wp:extent cx="508635" cy="328295"/>
                <wp:effectExtent b="0" l="0" r="0" t="0"/>
                <wp:wrapNone/>
                <wp:docPr id="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635" cy="328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814638" cy="513876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21282"/>
                    <a:stretch>
                      <a:fillRect/>
                    </a:stretch>
                  </pic:blipFill>
                  <pic:spPr>
                    <a:xfrm>
                      <a:off x="0" y="0"/>
                      <a:ext cx="2814638" cy="513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Click the Referrals tab and select ‘Availability’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3429000" cy="609600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42307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Select ‘CES Community Queue CA-503’</w:t>
      </w:r>
    </w:p>
    <w:p w:rsidR="00000000" w:rsidDel="00000000" w:rsidP="00000000" w:rsidRDefault="00000000" w:rsidRPr="00000000" w14:paraId="0000000F">
      <w:pPr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4672330" cy="1347788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2330" cy="1347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Select ‘Limited Availability’ to see if there are available openings </w:t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3858522" cy="521087"/>
            <wp:effectExtent b="0" l="0" r="0" t="0"/>
            <wp:docPr id="1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8522" cy="5210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Openings will look like this:</w:t>
      </w:r>
    </w:p>
    <w:p w:rsidR="00000000" w:rsidDel="00000000" w:rsidP="00000000" w:rsidRDefault="00000000" w:rsidRPr="00000000" w14:paraId="00000014">
      <w:pPr>
        <w:ind w:right="477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395538" cy="2164085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6682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5538" cy="2164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477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opening indicates that an appointment can be scheduled (1 opening = 1 unit/ program spot available)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Check the opening notes to see unit information and description(1 bedroom, ADA unit, first floor unit, etc)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there are openings that are outdated (beyond 90 days, email the housing provider to see if the opening is still available).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HMIS Steps</w:t>
      </w:r>
    </w:p>
    <w:p w:rsidR="00000000" w:rsidDel="00000000" w:rsidP="00000000" w:rsidRDefault="00000000" w:rsidRPr="00000000" w14:paraId="0000001C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rPr>
          <w:rFonts w:ascii="Calibri" w:cs="Calibri" w:eastAsia="Calibri" w:hAnsi="Calibri"/>
          <w:b w:val="1"/>
          <w:color w:val="2f5496"/>
        </w:rPr>
      </w:pPr>
      <w:r w:rsidDel="00000000" w:rsidR="00000000" w:rsidRPr="00000000">
        <w:rPr>
          <w:rFonts w:ascii="Calibri" w:cs="Calibri" w:eastAsia="Calibri" w:hAnsi="Calibri"/>
          <w:b w:val="1"/>
          <w:color w:val="2f5496"/>
          <w:rtl w:val="0"/>
        </w:rPr>
        <w:t xml:space="preserve">Send Housing Referral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Switch to the housing agency that will be receiving the referral by selecting the agency on the upper right corner. </w:t>
        <w:br w:type="textWrapping"/>
      </w:r>
    </w:p>
    <w:p w:rsidR="00000000" w:rsidDel="00000000" w:rsidP="00000000" w:rsidRDefault="00000000" w:rsidRPr="00000000" w14:paraId="0000001F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4114637" cy="715226"/>
            <wp:effectExtent b="0" l="0" r="0" t="0"/>
            <wp:docPr descr="Graphical user interface&#10;&#10;Description automatically generated with medium confidence" id="13" name="image4.png"/>
            <a:graphic>
              <a:graphicData uri="http://schemas.openxmlformats.org/drawingml/2006/picture">
                <pic:pic>
                  <pic:nvPicPr>
                    <pic:cNvPr descr="Graphical user interface&#10;&#10;Description automatically generated with medium confidence"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4637" cy="7152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2943225</wp:posOffset>
            </wp:positionH>
            <wp:positionV relativeFrom="paragraph">
              <wp:posOffset>87630</wp:posOffset>
            </wp:positionV>
            <wp:extent cx="658495" cy="93980"/>
            <wp:effectExtent b="0" l="0" r="0" t="0"/>
            <wp:wrapNone/>
            <wp:docPr id="1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93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Send housing referral: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Search up the client’s record by using their HMIS UID or first and last name (check birthdate if there are duplicate names) 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 the client’s record, navigate to the ‘Assessment’ tab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Select the most recently completed assessment – and click on ‘Eligibility’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Refer client “directly to the CES Community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Queue” (if the message “Client pending on Community Queue - CES Community Queue” is showing, go to next section ‘Alternate Referral Process’)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Click ‘Send Referral’ - Providing notes is optional 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 the ‘Reassign’ section, select the housing program opening in the program bar</w:t>
      </w:r>
    </w:p>
    <w:p w:rsidR="00000000" w:rsidDel="00000000" w:rsidP="00000000" w:rsidRDefault="00000000" w:rsidRPr="00000000" w14:paraId="00000027">
      <w:pPr>
        <w:numPr>
          <w:ilvl w:val="2"/>
          <w:numId w:val="4"/>
        </w:numPr>
        <w:spacing w:line="259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Check the Program opening notes for specific unit information to ensure you are referring to the correct opening. 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After selecting the program an “Opening” bar should appear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Select the appropriate opening from the list (work from the oldest opening to newest if openings are all the same)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Click ‘Save Changes;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Once completed, the referral will appear in the client’s history. 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referral will appear as “Pending,” until the housing provider either updates it to:</w:t>
      </w:r>
    </w:p>
    <w:p w:rsidR="00000000" w:rsidDel="00000000" w:rsidP="00000000" w:rsidRDefault="00000000" w:rsidRPr="00000000" w14:paraId="0000002D">
      <w:pPr>
        <w:numPr>
          <w:ilvl w:val="2"/>
          <w:numId w:val="4"/>
        </w:numPr>
        <w:spacing w:line="259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“In Progress”- to indicate that they have seen the referral and are still working on it OR</w:t>
      </w:r>
    </w:p>
    <w:p w:rsidR="00000000" w:rsidDel="00000000" w:rsidP="00000000" w:rsidRDefault="00000000" w:rsidRPr="00000000" w14:paraId="0000002E">
      <w:pPr>
        <w:numPr>
          <w:ilvl w:val="2"/>
          <w:numId w:val="4"/>
        </w:numPr>
        <w:spacing w:line="259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“[Insert Date] to indicate they have accepted the referral and enrolled the client into the program </w:t>
      </w:r>
    </w:p>
    <w:p w:rsidR="00000000" w:rsidDel="00000000" w:rsidP="00000000" w:rsidRDefault="00000000" w:rsidRPr="00000000" w14:paraId="0000002F">
      <w:pPr>
        <w:numPr>
          <w:ilvl w:val="2"/>
          <w:numId w:val="4"/>
        </w:numPr>
        <w:spacing w:line="259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 is important that the housing provider maintains accurate record of the client’s referral status. Gentle reminders may be given to housing providers who fail to do so. </w:t>
      </w:r>
    </w:p>
    <w:p w:rsidR="00000000" w:rsidDel="00000000" w:rsidP="00000000" w:rsidRDefault="00000000" w:rsidRPr="00000000" w14:paraId="00000030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943600" cy="2197100"/>
            <wp:effectExtent b="0" l="0" r="0" t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323850</wp:posOffset>
                </wp:positionH>
                <wp:positionV relativeFrom="paragraph">
                  <wp:posOffset>1628775</wp:posOffset>
                </wp:positionV>
                <wp:extent cx="5153025" cy="59094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353200" y="1465675"/>
                          <a:ext cx="3691500" cy="94080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FF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323850</wp:posOffset>
                </wp:positionH>
                <wp:positionV relativeFrom="paragraph">
                  <wp:posOffset>1628775</wp:posOffset>
                </wp:positionV>
                <wp:extent cx="5153025" cy="590944"/>
                <wp:effectExtent b="0" l="0" r="0" t="0"/>
                <wp:wrapNone/>
                <wp:docPr id="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3025" cy="5909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spacing w:line="259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59" w:lineRule="auto"/>
        <w:ind w:left="0" w:firstLine="0"/>
        <w:rPr>
          <w:rFonts w:ascii="Calibri" w:cs="Calibri" w:eastAsia="Calibri" w:hAnsi="Calibri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59" w:lineRule="auto"/>
        <w:rPr>
          <w:rFonts w:ascii="Calibri" w:cs="Calibri" w:eastAsia="Calibri" w:hAnsi="Calibri"/>
          <w:b w:val="1"/>
          <w:color w:val="2f5496"/>
        </w:rPr>
      </w:pPr>
      <w:r w:rsidDel="00000000" w:rsidR="00000000" w:rsidRPr="00000000">
        <w:rPr>
          <w:rFonts w:ascii="Calibri" w:cs="Calibri" w:eastAsia="Calibri" w:hAnsi="Calibri"/>
          <w:b w:val="1"/>
          <w:color w:val="2f5496"/>
          <w:rtl w:val="0"/>
        </w:rPr>
        <w:t xml:space="preserve">Alternate Referral Process (for clients currently pending  in the Community Queue but not referred to housing program)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the client is already on the CES Community Queue go back to the HMIS home screen and navigate to the ‘Referrals’ tab</w:t>
      </w:r>
    </w:p>
    <w:p w:rsidR="00000000" w:rsidDel="00000000" w:rsidP="00000000" w:rsidRDefault="00000000" w:rsidRPr="00000000" w14:paraId="00000036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3243263" cy="576927"/>
            <wp:effectExtent b="0" l="0" r="0" t="0"/>
            <wp:docPr id="1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3263" cy="5769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here, click on the Community Queue tab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Select ‘CES Community Queue CA-503’</w:t>
      </w:r>
    </w:p>
    <w:p w:rsidR="00000000" w:rsidDel="00000000" w:rsidP="00000000" w:rsidRDefault="00000000" w:rsidRPr="00000000" w14:paraId="00000039">
      <w:pPr>
        <w:spacing w:line="259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4032656" cy="956197"/>
            <wp:effectExtent b="0" l="0" r="0" t="0"/>
            <wp:docPr id="1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2656" cy="9561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2276475</wp:posOffset>
                </wp:positionH>
                <wp:positionV relativeFrom="paragraph">
                  <wp:posOffset>200025</wp:posOffset>
                </wp:positionV>
                <wp:extent cx="504825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01208" y="3625378"/>
                          <a:ext cx="489585" cy="30924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2276475</wp:posOffset>
                </wp:positionH>
                <wp:positionV relativeFrom="paragraph">
                  <wp:posOffset>200025</wp:posOffset>
                </wp:positionV>
                <wp:extent cx="504825" cy="323850"/>
                <wp:effectExtent b="0" l="0" r="0" t="0"/>
                <wp:wrapNone/>
                <wp:docPr id="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nput the client’s UID in the search bar and click 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ver over the client until the edit icon (box with a pencil) appears to the left of the client’s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Click on the edit button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 this screen, scroll down to the ‘Reassign’ section and select the housing program in the program bar </w:t>
      </w:r>
    </w:p>
    <w:p w:rsidR="00000000" w:rsidDel="00000000" w:rsidP="00000000" w:rsidRDefault="00000000" w:rsidRPr="00000000" w14:paraId="0000003E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3776663" cy="950218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6663" cy="9502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Select the appropriate opening from the list (work from the oldest opening to newest)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Click save changes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Once completed, the referral will automatically close out the bed vacancy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b w:val="1"/>
          <w:color w:val="2f5496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2f5496"/>
          <w:sz w:val="28"/>
          <w:szCs w:val="28"/>
          <w:rtl w:val="0"/>
        </w:rPr>
        <w:t xml:space="preserve">If housing providers have any HMIS questions on how to accept, reject, enroll referrals, please send them this document: 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b w:val="1"/>
          <w:color w:val="2f5496"/>
        </w:rPr>
      </w:pPr>
      <w:hyperlink r:id="rId21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https://docs.google.com/document/d/1XRSO-Wft7DfrxFvJtKtSamF890D7Sa_rrr0iqdFGxD8/edit?usp=sharing</w:t>
        </w:r>
      </w:hyperlink>
      <w:r w:rsidDel="00000000" w:rsidR="00000000" w:rsidRPr="00000000">
        <w:rPr>
          <w:rFonts w:ascii="Calibri" w:cs="Calibri" w:eastAsia="Calibri" w:hAnsi="Calibri"/>
          <w:b w:val="1"/>
          <w:color w:val="2f5496"/>
          <w:rtl w:val="0"/>
        </w:rPr>
        <w:t xml:space="preserve"> </w:t>
      </w:r>
    </w:p>
    <w:sectPr>
      <w:headerReference r:id="rId2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jc w:val="right"/>
      <w:rPr/>
    </w:pPr>
    <w:r w:rsidDel="00000000" w:rsidR="00000000" w:rsidRPr="00000000">
      <w:rPr>
        <w:rtl w:val="0"/>
      </w:rPr>
      <w:t xml:space="preserve">Updated 7/24/23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-720" w:hanging="360"/>
      </w:pPr>
      <w:rPr/>
    </w:lvl>
    <w:lvl w:ilvl="2">
      <w:start w:val="1"/>
      <w:numFmt w:val="lowerRoman"/>
      <w:lvlText w:val="%3."/>
      <w:lvlJc w:val="right"/>
      <w:pPr>
        <w:ind w:left="0" w:hanging="180"/>
      </w:pPr>
      <w:rPr/>
    </w:lvl>
    <w:lvl w:ilvl="3">
      <w:start w:val="1"/>
      <w:numFmt w:val="decimal"/>
      <w:lvlText w:val="%4."/>
      <w:lvlJc w:val="left"/>
      <w:pPr>
        <w:ind w:left="720" w:hanging="360"/>
      </w:pPr>
      <w:rPr/>
    </w:lvl>
    <w:lvl w:ilvl="4">
      <w:start w:val="1"/>
      <w:numFmt w:val="lowerLetter"/>
      <w:lvlText w:val="%5."/>
      <w:lvlJc w:val="left"/>
      <w:pPr>
        <w:ind w:left="1440" w:hanging="360"/>
      </w:pPr>
      <w:rPr/>
    </w:lvl>
    <w:lvl w:ilvl="5">
      <w:start w:val="1"/>
      <w:numFmt w:val="lowerRoman"/>
      <w:lvlText w:val="%6."/>
      <w:lvlJc w:val="right"/>
      <w:pPr>
        <w:ind w:left="2160" w:hanging="18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600" w:hanging="360"/>
      </w:pPr>
      <w:rPr/>
    </w:lvl>
    <w:lvl w:ilvl="8">
      <w:start w:val="1"/>
      <w:numFmt w:val="lowerRoman"/>
      <w:lvlText w:val="%9."/>
      <w:lvlJc w:val="right"/>
      <w:pPr>
        <w:ind w:left="43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11" Type="http://schemas.openxmlformats.org/officeDocument/2006/relationships/image" Target="media/image10.png"/><Relationship Id="rId22" Type="http://schemas.openxmlformats.org/officeDocument/2006/relationships/header" Target="header1.xml"/><Relationship Id="rId10" Type="http://schemas.openxmlformats.org/officeDocument/2006/relationships/image" Target="media/image6.png"/><Relationship Id="rId21" Type="http://schemas.openxmlformats.org/officeDocument/2006/relationships/hyperlink" Target="https://docs.google.com/document/d/1XRSO-Wft7DfrxFvJtKtSamF890D7Sa_rrr0iqdFGxD8/edit?usp=sharing" TargetMode="External"/><Relationship Id="rId13" Type="http://schemas.openxmlformats.org/officeDocument/2006/relationships/image" Target="media/image4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9.png"/><Relationship Id="rId14" Type="http://schemas.openxmlformats.org/officeDocument/2006/relationships/image" Target="media/image5.png"/><Relationship Id="rId17" Type="http://schemas.openxmlformats.org/officeDocument/2006/relationships/image" Target="media/image11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19" Type="http://schemas.openxmlformats.org/officeDocument/2006/relationships/image" Target="media/image13.png"/><Relationship Id="rId6" Type="http://schemas.openxmlformats.org/officeDocument/2006/relationships/image" Target="media/image15.png"/><Relationship Id="rId18" Type="http://schemas.openxmlformats.org/officeDocument/2006/relationships/image" Target="media/image8.png"/><Relationship Id="rId7" Type="http://schemas.openxmlformats.org/officeDocument/2006/relationships/image" Target="media/image1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